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3760DF4C" w:rsidR="26A0D16B" w:rsidRPr="00245AEC" w:rsidRDefault="1E9C7E03" w:rsidP="0078206B">
      <w:pPr>
        <w:pStyle w:val="TitleCSI"/>
      </w:pPr>
      <w:r w:rsidRPr="00245AEC">
        <w:t xml:space="preserve">SECTION 09 </w:t>
      </w:r>
      <w:r w:rsidR="00F251FA">
        <w:t>51 26</w:t>
      </w:r>
    </w:p>
    <w:p w14:paraId="799D9CA1" w14:textId="746FB6A3" w:rsidR="26A0D16B" w:rsidRPr="00245AEC" w:rsidRDefault="00A31186" w:rsidP="00121111">
      <w:pPr>
        <w:pStyle w:val="TitleCSI"/>
      </w:pPr>
      <w:proofErr w:type="spellStart"/>
      <w:r w:rsidRPr="00245AEC">
        <w:t>StrandTec</w:t>
      </w:r>
      <w:r w:rsidR="00DE2208" w:rsidRPr="00DE2208">
        <w:rPr>
          <w:sz w:val="24"/>
          <w:vertAlign w:val="superscript"/>
        </w:rPr>
        <w:t>TM</w:t>
      </w:r>
      <w:proofErr w:type="spellEnd"/>
      <w:r w:rsidRPr="00245AEC">
        <w:t xml:space="preserve"> </w:t>
      </w:r>
      <w:proofErr w:type="spellStart"/>
      <w:r w:rsidR="0078206B">
        <w:t>Tegular</w:t>
      </w:r>
      <w:proofErr w:type="spellEnd"/>
      <w:r w:rsidR="0078206B">
        <w:t xml:space="preserve"> Lay-in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5A11C388" w:rsidR="00440A36" w:rsidRPr="00245AEC" w:rsidRDefault="00DE2208" w:rsidP="00920DA9">
      <w:pPr>
        <w:pStyle w:val="ParagraphCSI"/>
      </w:pPr>
      <w:sdt>
        <w:sdtPr>
          <w:id w:val="833874984"/>
          <w:placeholder>
            <w:docPart w:val="DE6B43E085DA42C781442BA068CAE0B4"/>
          </w:placeholder>
        </w:sdtPr>
        <w:sdtEndPr/>
        <w:sdtContent>
          <w:proofErr w:type="spellStart"/>
          <w:r w:rsidR="0078206B">
            <w:t>Tegular</w:t>
          </w:r>
          <w:proofErr w:type="spellEnd"/>
          <w:r w:rsidR="0078206B">
            <w:t xml:space="preserve"> lay-in c</w:t>
          </w:r>
          <w:r w:rsidR="005F6D56" w:rsidRPr="00245AEC">
            <w:t>ementitious wood fiber aco</w:t>
          </w:r>
          <w:r w:rsidR="00CA6CC2" w:rsidRPr="00245AEC">
            <w:t xml:space="preserve">ustical panels and </w:t>
          </w:r>
          <w:r w:rsidR="005F6D56" w:rsidRPr="00245AEC">
            <w:t>accessories</w:t>
          </w:r>
          <w:r w:rsidR="00CA6CC2" w:rsidRPr="00245AEC">
            <w:t xml:space="preserve"> for </w:t>
          </w:r>
          <w:r w:rsidR="00F251FA">
            <w:t>ceiling</w:t>
          </w:r>
          <w:r w:rsidR="00CA6CC2" w:rsidRPr="00245AEC">
            <w:t xml:space="preserve"> installation</w:t>
          </w:r>
          <w:r w:rsidR="005F6D56" w:rsidRPr="00245AEC">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1C1D3E26"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 xml:space="preserve">8” x 11” sample for each type of wood fiber </w:t>
          </w:r>
          <w:r w:rsidR="00F251FA">
            <w:t>ceiling</w:t>
          </w:r>
          <w:r w:rsidR="0013049B" w:rsidRPr="00245AEC">
            <w:t xml:space="preserve">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3C309622" w:rsidR="00DD1686" w:rsidRPr="00245AEC" w:rsidRDefault="00DD1686" w:rsidP="00DD1686">
      <w:pPr>
        <w:pStyle w:val="SubParaCSI"/>
      </w:pPr>
      <w:r w:rsidRPr="00245AEC">
        <w:t xml:space="preserve">Deliver no less than two percent (2%) </w:t>
      </w:r>
      <w:r w:rsidR="00DE2208">
        <w:t xml:space="preserve">/ (Other) </w:t>
      </w:r>
      <w:r w:rsidRPr="00245AEC">
        <w:t>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50BD8B2D"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w:t>
              </w:r>
              <w:r w:rsidR="0037070F">
                <w:t>k is completely dry, and work above</w:t>
              </w:r>
              <w:r w:rsidR="00EB2304" w:rsidRPr="00245AEC">
                <w:t xml:space="preserve"> </w:t>
              </w:r>
              <w:r w:rsidR="00F251FA">
                <w:t>ceiling</w:t>
              </w:r>
              <w:r w:rsidR="00EB2304" w:rsidRPr="00245AEC">
                <w:t>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370E9EC2" w:rsidR="00A57B81" w:rsidRDefault="00EB2304" w:rsidP="00A57B81">
      <w:pPr>
        <w:pStyle w:val="Paragraph2CSI"/>
        <w:numPr>
          <w:ilvl w:val="0"/>
          <w:numId w:val="18"/>
        </w:numPr>
        <w:ind w:hanging="720"/>
      </w:pPr>
      <w:r w:rsidRPr="00245AEC">
        <w:t>Product</w:t>
      </w:r>
      <w:r w:rsidR="00247184">
        <w:t xml:space="preserve"> Description</w:t>
      </w:r>
      <w:r w:rsidRPr="0078206B">
        <w:t xml:space="preserve">: </w:t>
      </w:r>
      <w:proofErr w:type="spellStart"/>
      <w:r w:rsidRPr="0078206B">
        <w:t>StrandTec</w:t>
      </w:r>
      <w:proofErr w:type="spellEnd"/>
      <w:r w:rsidRPr="0078206B">
        <w:t xml:space="preserve"> </w:t>
      </w:r>
      <w:proofErr w:type="spellStart"/>
      <w:r w:rsidR="0078206B">
        <w:t>Tegular</w:t>
      </w:r>
      <w:proofErr w:type="spellEnd"/>
      <w:r w:rsidR="0078206B">
        <w:t xml:space="preserve"> Lay-in</w:t>
      </w:r>
      <w:r w:rsidRPr="0078206B">
        <w:t xml:space="preserve"> 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2EF8A2E1" w:rsidR="00EB2304" w:rsidRPr="00245AEC" w:rsidRDefault="00A74D5D" w:rsidP="00EB2304">
      <w:pPr>
        <w:pStyle w:val="Paragraph2CSI"/>
        <w:numPr>
          <w:ilvl w:val="1"/>
          <w:numId w:val="18"/>
        </w:numPr>
        <w:ind w:hanging="720"/>
      </w:pPr>
      <w:r w:rsidRPr="00245AEC">
        <w:t xml:space="preserve">Panel Composition: </w:t>
      </w:r>
      <w:r w:rsidRPr="00245AEC">
        <w:tab/>
      </w:r>
      <w:r w:rsidR="0018747A">
        <w:t>Excelsio</w:t>
      </w:r>
      <w:r w:rsidR="0099469D">
        <w:t xml:space="preserve">r </w:t>
      </w:r>
      <w:r w:rsidR="00C46729">
        <w:t xml:space="preserve">bonded with inorganic binder - </w:t>
      </w:r>
      <w:r w:rsidR="0018747A">
        <w:t xml:space="preserve">Portland </w:t>
      </w:r>
      <w:r w:rsidR="00D74EDD">
        <w:t>c</w:t>
      </w:r>
      <w:r w:rsidR="0018747A">
        <w:t>ement</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77777777" w:rsidR="00A74D5D" w:rsidRPr="00245AEC" w:rsidRDefault="00A74D5D" w:rsidP="00EB2304">
      <w:pPr>
        <w:pStyle w:val="Paragraph2CSI"/>
        <w:numPr>
          <w:ilvl w:val="1"/>
          <w:numId w:val="18"/>
        </w:numPr>
        <w:ind w:hanging="720"/>
      </w:pPr>
      <w:r w:rsidRPr="00245AEC">
        <w:t>Panel Thickness:</w:t>
      </w:r>
      <w:r w:rsidRPr="00245AEC">
        <w:tab/>
        <w:t>(1”) / (1-3/8”) / (2”)</w:t>
      </w:r>
    </w:p>
    <w:p w14:paraId="0FDD8879" w14:textId="19901F63" w:rsidR="00056E32" w:rsidRPr="00245AEC" w:rsidRDefault="0078206B" w:rsidP="00056E32">
      <w:pPr>
        <w:pStyle w:val="Paragraph2CSI"/>
        <w:numPr>
          <w:ilvl w:val="1"/>
          <w:numId w:val="18"/>
        </w:numPr>
        <w:ind w:hanging="720"/>
      </w:pPr>
      <w:r>
        <w:t>Panel Size:</w:t>
      </w:r>
      <w:r>
        <w:tab/>
      </w:r>
      <w:r>
        <w:tab/>
      </w:r>
      <w:r w:rsidR="00056E32" w:rsidRPr="00245AEC">
        <w:t>(23-3/4” x 23-3/4”) / (23-3/</w:t>
      </w:r>
      <w:r>
        <w:t>4” x 47-3/4”)</w:t>
      </w:r>
      <w:r w:rsidR="00056E32" w:rsidRPr="00245AEC">
        <w:t xml:space="preserve"> </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71F70FDB" w:rsidR="00026FEA" w:rsidRPr="0078206B" w:rsidRDefault="008D5F0E" w:rsidP="00EB2304">
      <w:pPr>
        <w:pStyle w:val="Paragraph2CSI"/>
        <w:numPr>
          <w:ilvl w:val="1"/>
          <w:numId w:val="18"/>
        </w:numPr>
        <w:ind w:hanging="720"/>
      </w:pPr>
      <w:r w:rsidRPr="0078206B">
        <w:lastRenderedPageBreak/>
        <w:t xml:space="preserve">Mounting Method: </w:t>
      </w:r>
      <w:r w:rsidRPr="0078206B">
        <w:tab/>
      </w:r>
      <w:proofErr w:type="spellStart"/>
      <w:r w:rsidR="002E3A5F" w:rsidRPr="0078206B">
        <w:t>Tegular</w:t>
      </w:r>
      <w:proofErr w:type="spellEnd"/>
      <w:r w:rsidR="002E3A5F" w:rsidRPr="0078206B">
        <w:t xml:space="preserve"> l</w:t>
      </w:r>
      <w:r w:rsidR="0078206B" w:rsidRPr="0078206B">
        <w:t>ay-in ceiling tile on 15/16” grid</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78206B" w:rsidRDefault="00026FEA" w:rsidP="00645995">
      <w:pPr>
        <w:pStyle w:val="Paragraph2CSI"/>
        <w:numPr>
          <w:ilvl w:val="0"/>
          <w:numId w:val="32"/>
        </w:numPr>
        <w:ind w:hanging="720"/>
        <w:rPr>
          <w:iCs/>
        </w:rPr>
      </w:pPr>
      <w:r w:rsidRPr="0078206B">
        <w:rPr>
          <w:iCs/>
        </w:rPr>
        <w:t>Acoustical performance characteristics when</w:t>
      </w:r>
      <w:r w:rsidR="00E86ABC" w:rsidRPr="0078206B">
        <w:rPr>
          <w:iCs/>
        </w:rPr>
        <w:t xml:space="preserve"> tested in accordance with ASTM</w:t>
      </w:r>
      <w:r w:rsidR="00645995" w:rsidRPr="0078206B">
        <w:rPr>
          <w:iCs/>
        </w:rPr>
        <w:t xml:space="preserve"> </w:t>
      </w:r>
      <w:r w:rsidR="00003076" w:rsidRPr="0078206B">
        <w:rPr>
          <w:iCs/>
        </w:rPr>
        <w:t>C</w:t>
      </w:r>
      <w:r w:rsidR="00645995" w:rsidRPr="0078206B">
        <w:rPr>
          <w:iCs/>
        </w:rPr>
        <w:t xml:space="preserve">423 with mounting per ASTM </w:t>
      </w:r>
      <w:r w:rsidR="00003076" w:rsidRPr="0078206B">
        <w:rPr>
          <w:iCs/>
        </w:rPr>
        <w:t>E</w:t>
      </w:r>
      <w:r w:rsidR="00645995" w:rsidRPr="0078206B">
        <w:rPr>
          <w:iCs/>
        </w:rPr>
        <w:t>795</w:t>
      </w:r>
      <w:r w:rsidR="00E86ABC" w:rsidRPr="0078206B">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78206B" w:rsidRPr="008B653A" w14:paraId="53F2854D" w14:textId="77777777" w:rsidTr="00204083">
        <w:tc>
          <w:tcPr>
            <w:tcW w:w="3235" w:type="dxa"/>
          </w:tcPr>
          <w:p w14:paraId="6BE3E6A8" w14:textId="54EA6632" w:rsidR="0078206B" w:rsidRPr="008B653A" w:rsidRDefault="0078206B" w:rsidP="0078206B">
            <w:pPr>
              <w:pStyle w:val="Paragraph2CSI"/>
              <w:numPr>
                <w:ilvl w:val="0"/>
                <w:numId w:val="0"/>
              </w:numPr>
              <w:rPr>
                <w:iCs/>
                <w:highlight w:val="yellow"/>
              </w:rPr>
            </w:pPr>
            <w:r w:rsidRPr="008F745B">
              <w:rPr>
                <w:iCs/>
              </w:rPr>
              <w:t>Mounting Method</w:t>
            </w:r>
          </w:p>
        </w:tc>
        <w:tc>
          <w:tcPr>
            <w:tcW w:w="1710" w:type="dxa"/>
            <w:tcBorders>
              <w:right w:val="nil"/>
            </w:tcBorders>
          </w:tcPr>
          <w:p w14:paraId="21149E3D" w14:textId="77777777" w:rsidR="0078206B" w:rsidRPr="008B653A" w:rsidRDefault="0078206B" w:rsidP="0078206B">
            <w:pPr>
              <w:pStyle w:val="Paragraph2CSI"/>
              <w:numPr>
                <w:ilvl w:val="0"/>
                <w:numId w:val="0"/>
              </w:numPr>
              <w:rPr>
                <w:iCs/>
                <w:highlight w:val="yellow"/>
              </w:rPr>
            </w:pPr>
          </w:p>
        </w:tc>
        <w:tc>
          <w:tcPr>
            <w:tcW w:w="1980" w:type="dxa"/>
            <w:tcBorders>
              <w:left w:val="nil"/>
              <w:right w:val="nil"/>
            </w:tcBorders>
          </w:tcPr>
          <w:p w14:paraId="2F075085" w14:textId="4AB65C14" w:rsidR="0078206B" w:rsidRPr="008B653A" w:rsidRDefault="0078206B" w:rsidP="0078206B">
            <w:pPr>
              <w:pStyle w:val="Paragraph2CSI"/>
              <w:numPr>
                <w:ilvl w:val="0"/>
                <w:numId w:val="0"/>
              </w:numPr>
              <w:jc w:val="center"/>
              <w:rPr>
                <w:iCs/>
                <w:highlight w:val="yellow"/>
              </w:rPr>
            </w:pPr>
            <w:r w:rsidRPr="008F745B">
              <w:rPr>
                <w:iCs/>
              </w:rPr>
              <w:t>Thickness</w:t>
            </w:r>
          </w:p>
        </w:tc>
        <w:tc>
          <w:tcPr>
            <w:tcW w:w="1993" w:type="dxa"/>
            <w:tcBorders>
              <w:left w:val="nil"/>
            </w:tcBorders>
          </w:tcPr>
          <w:p w14:paraId="46A8C74C" w14:textId="77777777" w:rsidR="0078206B" w:rsidRPr="008B653A" w:rsidRDefault="0078206B" w:rsidP="0078206B">
            <w:pPr>
              <w:pStyle w:val="Paragraph2CSI"/>
              <w:numPr>
                <w:ilvl w:val="0"/>
                <w:numId w:val="0"/>
              </w:numPr>
              <w:rPr>
                <w:iCs/>
                <w:highlight w:val="yellow"/>
              </w:rPr>
            </w:pPr>
          </w:p>
        </w:tc>
      </w:tr>
      <w:tr w:rsidR="0078206B" w:rsidRPr="008B653A" w14:paraId="417BC166" w14:textId="77777777" w:rsidTr="00836F63">
        <w:tc>
          <w:tcPr>
            <w:tcW w:w="3235" w:type="dxa"/>
          </w:tcPr>
          <w:p w14:paraId="19F0BAE2" w14:textId="77777777" w:rsidR="0078206B" w:rsidRPr="008B653A" w:rsidRDefault="0078206B" w:rsidP="0078206B">
            <w:pPr>
              <w:pStyle w:val="Paragraph2CSI"/>
              <w:numPr>
                <w:ilvl w:val="0"/>
                <w:numId w:val="0"/>
              </w:numPr>
              <w:rPr>
                <w:iCs/>
                <w:highlight w:val="yellow"/>
              </w:rPr>
            </w:pPr>
          </w:p>
        </w:tc>
        <w:tc>
          <w:tcPr>
            <w:tcW w:w="1710" w:type="dxa"/>
          </w:tcPr>
          <w:p w14:paraId="433E36C2" w14:textId="3782213C" w:rsidR="0078206B" w:rsidRPr="008B653A" w:rsidRDefault="0078206B" w:rsidP="0078206B">
            <w:pPr>
              <w:pStyle w:val="Paragraph2CSI"/>
              <w:numPr>
                <w:ilvl w:val="0"/>
                <w:numId w:val="0"/>
              </w:numPr>
              <w:rPr>
                <w:iCs/>
                <w:highlight w:val="yellow"/>
              </w:rPr>
            </w:pPr>
            <w:r w:rsidRPr="008F745B">
              <w:rPr>
                <w:iCs/>
              </w:rPr>
              <w:t>1”</w:t>
            </w:r>
          </w:p>
        </w:tc>
        <w:tc>
          <w:tcPr>
            <w:tcW w:w="1980" w:type="dxa"/>
          </w:tcPr>
          <w:p w14:paraId="44C79554" w14:textId="74063FB9" w:rsidR="0078206B" w:rsidRPr="008B653A" w:rsidRDefault="0078206B" w:rsidP="0078206B">
            <w:pPr>
              <w:pStyle w:val="Paragraph2CSI"/>
              <w:numPr>
                <w:ilvl w:val="0"/>
                <w:numId w:val="0"/>
              </w:numPr>
              <w:rPr>
                <w:iCs/>
                <w:highlight w:val="yellow"/>
              </w:rPr>
            </w:pPr>
            <w:r w:rsidRPr="008F745B">
              <w:rPr>
                <w:iCs/>
              </w:rPr>
              <w:t>1-3/8”</w:t>
            </w:r>
          </w:p>
        </w:tc>
        <w:tc>
          <w:tcPr>
            <w:tcW w:w="1993" w:type="dxa"/>
          </w:tcPr>
          <w:p w14:paraId="37B8A416" w14:textId="3A74DDB8" w:rsidR="0078206B" w:rsidRPr="008B653A" w:rsidRDefault="0078206B" w:rsidP="0078206B">
            <w:pPr>
              <w:pStyle w:val="Paragraph2CSI"/>
              <w:numPr>
                <w:ilvl w:val="0"/>
                <w:numId w:val="0"/>
              </w:numPr>
              <w:rPr>
                <w:iCs/>
                <w:highlight w:val="yellow"/>
              </w:rPr>
            </w:pPr>
            <w:r w:rsidRPr="008F745B">
              <w:rPr>
                <w:iCs/>
              </w:rPr>
              <w:t>2”</w:t>
            </w:r>
          </w:p>
        </w:tc>
      </w:tr>
      <w:tr w:rsidR="0078206B" w:rsidRPr="008B653A" w14:paraId="4D7DD0BF" w14:textId="77777777" w:rsidTr="00836F63">
        <w:tc>
          <w:tcPr>
            <w:tcW w:w="3235" w:type="dxa"/>
          </w:tcPr>
          <w:p w14:paraId="43B744FD" w14:textId="05B80F8E" w:rsidR="0078206B" w:rsidRPr="008B653A" w:rsidRDefault="0078206B" w:rsidP="0078206B">
            <w:pPr>
              <w:pStyle w:val="Paragraph2CSI"/>
              <w:numPr>
                <w:ilvl w:val="0"/>
                <w:numId w:val="0"/>
              </w:numPr>
              <w:rPr>
                <w:iCs/>
                <w:highlight w:val="yellow"/>
              </w:rPr>
            </w:pPr>
            <w:r w:rsidRPr="008F745B">
              <w:rPr>
                <w:iCs/>
              </w:rPr>
              <w:t>NRC (E-400 – No Backer)</w:t>
            </w:r>
          </w:p>
        </w:tc>
        <w:tc>
          <w:tcPr>
            <w:tcW w:w="1710" w:type="dxa"/>
          </w:tcPr>
          <w:p w14:paraId="68DE7D11" w14:textId="150EF8AA" w:rsidR="0078206B" w:rsidRPr="008B653A" w:rsidRDefault="0078206B" w:rsidP="0078206B">
            <w:pPr>
              <w:pStyle w:val="Paragraph2CSI"/>
              <w:numPr>
                <w:ilvl w:val="0"/>
                <w:numId w:val="0"/>
              </w:numPr>
              <w:rPr>
                <w:iCs/>
                <w:highlight w:val="yellow"/>
              </w:rPr>
            </w:pPr>
            <w:r w:rsidRPr="008F745B">
              <w:rPr>
                <w:iCs/>
              </w:rPr>
              <w:t>0.40</w:t>
            </w:r>
          </w:p>
        </w:tc>
        <w:tc>
          <w:tcPr>
            <w:tcW w:w="1980" w:type="dxa"/>
          </w:tcPr>
          <w:p w14:paraId="3A70E93E" w14:textId="44775E0F" w:rsidR="0078206B" w:rsidRPr="008B653A" w:rsidRDefault="0078206B" w:rsidP="0078206B">
            <w:pPr>
              <w:pStyle w:val="Paragraph2CSI"/>
              <w:numPr>
                <w:ilvl w:val="0"/>
                <w:numId w:val="0"/>
              </w:numPr>
              <w:rPr>
                <w:iCs/>
                <w:highlight w:val="yellow"/>
              </w:rPr>
            </w:pPr>
            <w:r w:rsidRPr="008F745B">
              <w:rPr>
                <w:iCs/>
              </w:rPr>
              <w:t>0.60</w:t>
            </w:r>
          </w:p>
        </w:tc>
        <w:tc>
          <w:tcPr>
            <w:tcW w:w="1993" w:type="dxa"/>
          </w:tcPr>
          <w:p w14:paraId="18B0B0DD" w14:textId="32C77BC7" w:rsidR="0078206B" w:rsidRPr="008B653A" w:rsidRDefault="0078206B" w:rsidP="0078206B">
            <w:pPr>
              <w:pStyle w:val="Paragraph2CSI"/>
              <w:numPr>
                <w:ilvl w:val="0"/>
                <w:numId w:val="0"/>
              </w:numPr>
              <w:rPr>
                <w:iCs/>
                <w:highlight w:val="yellow"/>
              </w:rPr>
            </w:pPr>
            <w:r w:rsidRPr="008F745B">
              <w:rPr>
                <w:iCs/>
              </w:rPr>
              <w:t>0.75</w:t>
            </w:r>
          </w:p>
        </w:tc>
      </w:tr>
      <w:tr w:rsidR="0078206B" w:rsidRPr="008B653A" w14:paraId="28C839B6" w14:textId="77777777" w:rsidTr="00836F63">
        <w:tc>
          <w:tcPr>
            <w:tcW w:w="3235" w:type="dxa"/>
          </w:tcPr>
          <w:p w14:paraId="6EBE0DA5" w14:textId="37DC80C9" w:rsidR="0078206B" w:rsidRPr="008B653A" w:rsidRDefault="0078206B" w:rsidP="0078206B">
            <w:pPr>
              <w:pStyle w:val="Paragraph2CSI"/>
              <w:numPr>
                <w:ilvl w:val="0"/>
                <w:numId w:val="0"/>
              </w:numPr>
              <w:rPr>
                <w:iCs/>
                <w:highlight w:val="yellow"/>
              </w:rPr>
            </w:pPr>
            <w:r w:rsidRPr="008F745B">
              <w:rPr>
                <w:iCs/>
              </w:rPr>
              <w:t>NRC (E-400 – 1” CFAB Backer)</w:t>
            </w:r>
          </w:p>
        </w:tc>
        <w:tc>
          <w:tcPr>
            <w:tcW w:w="1710" w:type="dxa"/>
          </w:tcPr>
          <w:p w14:paraId="0C1E601E" w14:textId="7DF8C718" w:rsidR="0078206B" w:rsidRPr="008B653A" w:rsidRDefault="0078206B" w:rsidP="0078206B">
            <w:pPr>
              <w:pStyle w:val="Paragraph2CSI"/>
              <w:numPr>
                <w:ilvl w:val="0"/>
                <w:numId w:val="0"/>
              </w:numPr>
              <w:rPr>
                <w:iCs/>
                <w:highlight w:val="yellow"/>
              </w:rPr>
            </w:pPr>
            <w:r w:rsidRPr="008F745B">
              <w:rPr>
                <w:iCs/>
              </w:rPr>
              <w:t>0.80</w:t>
            </w:r>
          </w:p>
        </w:tc>
        <w:tc>
          <w:tcPr>
            <w:tcW w:w="1980" w:type="dxa"/>
          </w:tcPr>
          <w:p w14:paraId="045A050A" w14:textId="73D59D2B" w:rsidR="0078206B" w:rsidRPr="008B653A" w:rsidRDefault="0078206B" w:rsidP="0078206B">
            <w:pPr>
              <w:pStyle w:val="Paragraph2CSI"/>
              <w:numPr>
                <w:ilvl w:val="0"/>
                <w:numId w:val="0"/>
              </w:numPr>
              <w:rPr>
                <w:iCs/>
                <w:highlight w:val="yellow"/>
              </w:rPr>
            </w:pPr>
            <w:r w:rsidRPr="008F745B">
              <w:rPr>
                <w:iCs/>
              </w:rPr>
              <w:t>0.85</w:t>
            </w:r>
          </w:p>
        </w:tc>
        <w:tc>
          <w:tcPr>
            <w:tcW w:w="1993" w:type="dxa"/>
          </w:tcPr>
          <w:p w14:paraId="0C801592" w14:textId="1B6507DA" w:rsidR="0078206B" w:rsidRPr="008B653A" w:rsidRDefault="0078206B" w:rsidP="0078206B">
            <w:pPr>
              <w:pStyle w:val="Paragraph2CSI"/>
              <w:numPr>
                <w:ilvl w:val="0"/>
                <w:numId w:val="0"/>
              </w:numPr>
              <w:rPr>
                <w:iCs/>
                <w:highlight w:val="yellow"/>
              </w:rPr>
            </w:pPr>
            <w:r w:rsidRPr="008F745B">
              <w:rPr>
                <w:iCs/>
              </w:rPr>
              <w:t>0.95</w:t>
            </w:r>
          </w:p>
        </w:tc>
      </w:tr>
      <w:tr w:rsidR="0078206B" w:rsidRPr="008B653A" w14:paraId="601912F8" w14:textId="77777777" w:rsidTr="00836F63">
        <w:tc>
          <w:tcPr>
            <w:tcW w:w="3235" w:type="dxa"/>
          </w:tcPr>
          <w:p w14:paraId="245AD362" w14:textId="0A5AC2E8" w:rsidR="0078206B" w:rsidRPr="008B653A" w:rsidRDefault="0078206B" w:rsidP="0078206B">
            <w:pPr>
              <w:pStyle w:val="Paragraph2CSI"/>
              <w:numPr>
                <w:ilvl w:val="0"/>
                <w:numId w:val="0"/>
              </w:numPr>
              <w:rPr>
                <w:iCs/>
                <w:highlight w:val="yellow"/>
              </w:rPr>
            </w:pPr>
            <w:r w:rsidRPr="008F745B">
              <w:rPr>
                <w:iCs/>
              </w:rPr>
              <w:t>NRC (E-400 – 2” CFAB Backer)</w:t>
            </w:r>
          </w:p>
        </w:tc>
        <w:tc>
          <w:tcPr>
            <w:tcW w:w="1710" w:type="dxa"/>
          </w:tcPr>
          <w:p w14:paraId="4B6C2F64" w14:textId="6899C51E" w:rsidR="0078206B" w:rsidRPr="008B653A" w:rsidRDefault="0078206B" w:rsidP="0078206B">
            <w:pPr>
              <w:pStyle w:val="Paragraph2CSI"/>
              <w:numPr>
                <w:ilvl w:val="0"/>
                <w:numId w:val="0"/>
              </w:numPr>
              <w:rPr>
                <w:iCs/>
                <w:highlight w:val="yellow"/>
              </w:rPr>
            </w:pPr>
            <w:r w:rsidRPr="008F745B">
              <w:rPr>
                <w:iCs/>
              </w:rPr>
              <w:t>0.85</w:t>
            </w:r>
          </w:p>
        </w:tc>
        <w:tc>
          <w:tcPr>
            <w:tcW w:w="1980" w:type="dxa"/>
          </w:tcPr>
          <w:p w14:paraId="1062F289" w14:textId="2B6FA740" w:rsidR="0078206B" w:rsidRPr="008B653A" w:rsidRDefault="0078206B" w:rsidP="0078206B">
            <w:pPr>
              <w:pStyle w:val="Paragraph2CSI"/>
              <w:numPr>
                <w:ilvl w:val="0"/>
                <w:numId w:val="0"/>
              </w:numPr>
              <w:rPr>
                <w:iCs/>
                <w:highlight w:val="yellow"/>
              </w:rPr>
            </w:pPr>
            <w:r w:rsidRPr="008F745B">
              <w:rPr>
                <w:iCs/>
              </w:rPr>
              <w:t>0.90</w:t>
            </w:r>
          </w:p>
        </w:tc>
        <w:tc>
          <w:tcPr>
            <w:tcW w:w="1993" w:type="dxa"/>
          </w:tcPr>
          <w:p w14:paraId="3EFF3821" w14:textId="63C26BC6" w:rsidR="0078206B" w:rsidRPr="008B653A" w:rsidRDefault="0078206B" w:rsidP="0078206B">
            <w:pPr>
              <w:pStyle w:val="Paragraph2CSI"/>
              <w:numPr>
                <w:ilvl w:val="0"/>
                <w:numId w:val="0"/>
              </w:numPr>
              <w:rPr>
                <w:iCs/>
                <w:highlight w:val="yellow"/>
              </w:rPr>
            </w:pPr>
            <w:r w:rsidRPr="008F745B">
              <w:rPr>
                <w:iCs/>
              </w:rPr>
              <w:t>0.95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675D44EA" w14:textId="6E7745E1" w:rsidR="00E86ABC" w:rsidRDefault="00003076" w:rsidP="00E86ABC">
      <w:pPr>
        <w:pStyle w:val="Paragraph2CSI"/>
        <w:numPr>
          <w:ilvl w:val="1"/>
          <w:numId w:val="36"/>
        </w:numPr>
        <w:ind w:hanging="720"/>
      </w:pPr>
      <w:r>
        <w:t>(Acoustical b</w:t>
      </w:r>
      <w:r w:rsidR="00E86ABC">
        <w:t xml:space="preserve">acker – CFAB (1”) / (2”) </w:t>
      </w:r>
      <w:r w:rsidR="00645995">
        <w:t xml:space="preserve">- </w:t>
      </w:r>
      <w:r>
        <w:t>3lbs/</w:t>
      </w:r>
      <w:proofErr w:type="spellStart"/>
      <w:r>
        <w:t>cf</w:t>
      </w:r>
      <w:proofErr w:type="spellEnd"/>
      <w:r>
        <w:t xml:space="preserve"> density) / (No acoustical backer)</w:t>
      </w:r>
    </w:p>
    <w:p w14:paraId="0029A66B" w14:textId="045BF3D9" w:rsidR="00645995" w:rsidRPr="00245AEC" w:rsidRDefault="00DE2208" w:rsidP="00645995">
      <w:pPr>
        <w:pStyle w:val="Paragraph2CSI"/>
        <w:numPr>
          <w:ilvl w:val="1"/>
          <w:numId w:val="36"/>
        </w:numPr>
        <w:ind w:hanging="720"/>
      </w:pPr>
      <w:proofErr w:type="spellStart"/>
      <w:r>
        <w:t>SonoKote</w:t>
      </w:r>
      <w:proofErr w:type="spellEnd"/>
      <w:r w:rsidR="00645995">
        <w:t xml:space="preserve"> acoustically transparent paint (factory applied) / (field applied) </w:t>
      </w:r>
      <w:r w:rsidR="00645995" w:rsidRPr="00245AEC">
        <w:t>if</w:t>
      </w:r>
      <w:r>
        <w:t xml:space="preserve"> </w:t>
      </w:r>
      <w:proofErr w:type="spellStart"/>
      <w:r>
        <w:t>SonoKote</w:t>
      </w:r>
      <w:bookmarkStart w:id="0" w:name="_GoBack"/>
      <w:bookmarkEnd w:id="0"/>
      <w:proofErr w:type="spellEnd"/>
      <w:r w:rsidR="00645995">
        <w:t xml:space="preserve"> custom color</w:t>
      </w:r>
      <w:r w:rsidR="00645995"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lastRenderedPageBreak/>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E3A5F"/>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2E31"/>
    <w:rsid w:val="0075585F"/>
    <w:rsid w:val="007647F5"/>
    <w:rsid w:val="00781496"/>
    <w:rsid w:val="0078206B"/>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653A"/>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5B"/>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2208"/>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C432-F1ED-4DAE-8239-1369E605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13</cp:revision>
  <cp:lastPrinted>2018-05-16T15:06:00Z</cp:lastPrinted>
  <dcterms:created xsi:type="dcterms:W3CDTF">2018-06-04T15:19:00Z</dcterms:created>
  <dcterms:modified xsi:type="dcterms:W3CDTF">2018-07-17T12:39:00Z</dcterms:modified>
</cp:coreProperties>
</file>